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4B1" w:rsidRPr="00277939" w:rsidRDefault="009874B1" w:rsidP="009874B1">
      <w:pPr>
        <w:jc w:val="center"/>
        <w:rPr>
          <w:rFonts w:ascii="Spranq eco sans" w:hAnsi="Spranq eco sans"/>
          <w:sz w:val="20"/>
          <w:szCs w:val="20"/>
        </w:rPr>
      </w:pPr>
    </w:p>
    <w:p w:rsidR="009874B1" w:rsidRPr="00277939" w:rsidRDefault="009874B1" w:rsidP="009874B1">
      <w:pPr>
        <w:shd w:val="clear" w:color="auto" w:fill="BFBFBF" w:themeFill="background1" w:themeFillShade="BF"/>
        <w:jc w:val="center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b/>
          <w:bCs/>
          <w:iCs/>
          <w:color w:val="000000"/>
          <w:sz w:val="20"/>
          <w:szCs w:val="20"/>
        </w:rPr>
        <w:t>ANEXO IV</w:t>
      </w:r>
    </w:p>
    <w:p w:rsidR="009874B1" w:rsidRPr="00277939" w:rsidRDefault="009874B1" w:rsidP="009874B1">
      <w:pPr>
        <w:jc w:val="center"/>
        <w:rPr>
          <w:rFonts w:ascii="Spranq eco sans" w:hAnsi="Spranq eco sans" w:cs="Times New Roman"/>
          <w:b/>
          <w:bCs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center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b/>
          <w:bCs/>
          <w:iCs/>
          <w:color w:val="000000"/>
          <w:sz w:val="20"/>
          <w:szCs w:val="20"/>
        </w:rPr>
        <w:t xml:space="preserve">TERMO DE CONCILIAÇÃO JUDICIAL ENTRE A UNIÃO E O </w:t>
      </w:r>
    </w:p>
    <w:p w:rsidR="009874B1" w:rsidRPr="00277939" w:rsidRDefault="009874B1" w:rsidP="009874B1">
      <w:pPr>
        <w:jc w:val="center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b/>
          <w:bCs/>
          <w:iCs/>
          <w:color w:val="000000"/>
          <w:sz w:val="20"/>
          <w:szCs w:val="20"/>
        </w:rPr>
        <w:t>MINISTÉRIO PÚBLICO</w:t>
      </w:r>
    </w:p>
    <w:p w:rsidR="009874B1" w:rsidRPr="00277939" w:rsidRDefault="009874B1" w:rsidP="009874B1">
      <w:pPr>
        <w:jc w:val="center"/>
        <w:rPr>
          <w:rFonts w:ascii="Spranq eco sans" w:hAnsi="Spranq eco sans" w:cs="Times New Roman"/>
          <w:b/>
          <w:bCs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O MINISTÉRIO PÚBLICO DO TRABALHO, neste </w:t>
      </w:r>
      <w:proofErr w:type="gram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ato  representado</w:t>
      </w:r>
      <w:proofErr w:type="gram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 pelo  Procurador Geral  do  Trabalho,  Dr.  Guilherme  </w:t>
      </w:r>
      <w:proofErr w:type="spell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Mastrichi</w:t>
      </w:r>
      <w:proofErr w:type="spell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 Basso,  pela  Vice-Procuradora-Geral  do Trabalho, Dra. Guiomar Rechia Gomes, pelo Procurador-Chefe da PRT da 10ª Região, Dr. Brasilino  Santos  Ramos  e  pelo  Procurador  do  Trabalho  Dr.  Fábio  Leal  Cardoso,  e  a UNIÃO, neste  ato representada pelo Procurador-Geral da União, Dr. Moacir Antonio da Silva Machado, pela Sub Procuradora Regional da União - 1ª Região, Dra. Helia Maria de Oliveira </w:t>
      </w:r>
      <w:proofErr w:type="spell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Bettero</w:t>
      </w:r>
      <w:proofErr w:type="spell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e pelo Advogado da União, Dr. Mário Luiz Guerreiro;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proofErr w:type="gram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CONSIDERANDO  que</w:t>
      </w:r>
      <w:proofErr w:type="gram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 toda  relação  jurídica  de  trabalho  cuja  prestação  laboral  não eventual seja ofertada pessoalmente pelo obreiro, em estado de subordinação e mediante contraprestação  pecuniária,  será  regida  obrigatoriamente  pela  Consolidação  das  Leis  do Trabalho  ou  por  estatuto  próprio,  quando  se  tratar  de  relação  de  trabalho  de  natureza estatutária, com a Administração Pública;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proofErr w:type="gram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CONSIDERANDO  que</w:t>
      </w:r>
      <w:proofErr w:type="gram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 a  legislação  consolidada  em  seu  art.  9º,  comina  de  nulidade absoluta  todos  os  atos  praticados  com  o  intuito  de  desvirtuar,  impedir  ou  fraudar  a aplicação da lei trabalhista;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CONSIDERANDO que as sociedades cooperativas, segundo a Lei n. 5.764, de 16.12.1971, art. 4º, “(...) são sociedades de pessoas, com forma e natureza jurídica próprias, de natureza civil, não sujeitas à falência, constituídas para prestar serviços aos associados”.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CONSIDERANDO que as cooperativas podem prestar serviços a não associados somente em caráter excepcional e desde que tal faculdade atenda aos objetivos sociais previstos na sua norma estatutária, (art. 86, da Lei n. 5.764, de 16.12.1971), aspecto legal que revela a </w:t>
      </w:r>
      <w:bookmarkStart w:id="0" w:name="_GoBack"/>
      <w:bookmarkEnd w:id="0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patente impossibilidade jurídica das cooperativas funcionarem como agências de locação de mão-de-obra terceirizada;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CONSIDERANDO que a administração pública está inexoravelmente jungida ao princípio da legalidade, e que a prática do </w:t>
      </w:r>
      <w:proofErr w:type="spell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merchandage</w:t>
      </w:r>
      <w:proofErr w:type="spell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é vedada pelo art. 3º, da CLT e repelida pela jurisprudência sumulada do C. TST (</w:t>
      </w:r>
      <w:proofErr w:type="spell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En</w:t>
      </w:r>
      <w:proofErr w:type="spell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. 331);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CONSIDERANDO que  os trabalhadores aliciados por cooperativas de mão-de-obra, que prestam  serviços  de  natureza  subordinada  à  UNIÃO  embora  laborem  em  situação  fática idêntica a dos empregados das empresas prestadoras  de serviços terceirizáveis, encontram-se  à  margem  de  qualquer  proteção  jurídico-laboral,  sendo-lhes  sonegada  a  incidência  de normas  protetivas  do  trabalho,  especialmente  àquelas  destinadas  a  tutelar  a  segurança  e higidez  do  trabalho  subordinado,  o  que  afronta  o  princípio  da  isonomia,  a  dignidade  da pessoa humana e os valores sociais do trabalho (arts. 5º, caput e 1º, III e IV da Constituição Federal);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lastRenderedPageBreak/>
        <w:t xml:space="preserve">CONSIDERANDO que num processo de terceirização o tomador dos serviços (no caso a </w:t>
      </w:r>
      <w:proofErr w:type="gram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administração  pública</w:t>
      </w:r>
      <w:proofErr w:type="gram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)  tem  responsabilidade  sucessiva  por  eventuais  débitos trabalhistas do fornecedor de mão-de-obra, nos termos do Enunciado 331, do TST, o que poderia gerar graves prejuízos financeiros ao erário, na hipótese de se apurar a presença dos requisitos do art.  3º,  da  CLT  na  atividade  de  intermediação  de  mão-de-obra  patrocinada  por  falsas cooperativas;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CONSIDERANDO o teor da Recomendação Para a Promoção das Cooperativas aprovada </w:t>
      </w:r>
      <w:proofErr w:type="gram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na  90</w:t>
      </w:r>
      <w:proofErr w:type="gram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ª  sessão,  da  OIT  –  Organização  Internacional  do  Trabalho,  em  junho  de  2002, dispondo que os Estados devem implementar políticas nos sentido de: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“8.1.b </w:t>
      </w:r>
      <w:proofErr w:type="gram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Garantir  que</w:t>
      </w:r>
      <w:proofErr w:type="gram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 as  cooperativas  não  sejam  criadas  para,  ou  direcionadas  a,  o  não cumprimento  das  lei  do  trabalho  ou  usadas  para  estabelecer  relações  de  emprego disfarçados,  e  combater  </w:t>
      </w:r>
      <w:proofErr w:type="spell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pseudocooperativas</w:t>
      </w:r>
      <w:proofErr w:type="spell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 que  violam  os  direitos  dos  trabalhadores velando para que a lei trabalhista seja aplicada em todas as empresas.”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RESOLVEM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Celebrar CONCILIAÇÃO nos autos do Processo 01082-2002-020-10-00-0, em tramitação perante a MM. Vigésima Vara do Trabalho de Brasília-DF, mediante os seguintes termos: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proofErr w:type="gram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Cláusula  Primeira</w:t>
      </w:r>
      <w:proofErr w:type="gram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 -  A  UNIÃO  abster-se-á  de  contratar  trabalhadores,  por  meio  de cooperativas de mão-de-obra, para a prestação de serviços ligados às suas atividades-fim ou  meio,  quando  o  labor,  por  sua  própria  natureza,  demandar  execução  em  estado  de subordinação,  quer  em  relação  ao  tomador,  ou  em  relação  ao  fornecedor  dos  serviços, constituindo  elemento  essencial  ao  desenvolvimento  e  à  prestação  dos  serviços terceirizados, sendo eles: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a) – Serviços de limpeza;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b) – Serviços de conservação;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c) – Serviços de segurança, de vigilância e de portaria;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d) – Serviços de recepção;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e) – Serviços de copeiragem;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f) – Serviços de reprografia;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g) – Serviços de telefonia;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h) – Serviços de manutenção de prédios, de equipamentos, de veículos e de instalações;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i) – Serviços de secretariado e secretariado executivo;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j) – Serviços de auxiliar de escritório;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k) – Serviços de auxiliar administrativo;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l) – Serviços de office boy (contínuo);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m) – Serviços de digitação;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n) – Serviços de assessoria de imprensa e de relações públicas;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o) –  </w:t>
      </w:r>
      <w:proofErr w:type="gram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Serviços  de</w:t>
      </w:r>
      <w:proofErr w:type="gram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 motorista,  no  caso  de  os  veículos  serem  fornecidos  pelo  próprio  órgão licitante;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p) – Serviços de ascensorista;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q) – Serviços de enfermagem; e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r) – Serviços de agentes comunitários de saúde.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lastRenderedPageBreak/>
        <w:t xml:space="preserve">Parágrafo Primeiro – O disposto nesta Cláusula não autoriza outras formas de terceirização sem previsão legal.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proofErr w:type="gram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Parágrafo  Segundo</w:t>
      </w:r>
      <w:proofErr w:type="gram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 –  As  partes  podem,  a  qualquer  momento,  mediante  comunicação  e acordos prévios, ampliar o rol de serviços elencados no caput.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proofErr w:type="gram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Cláusula  Segunda</w:t>
      </w:r>
      <w:proofErr w:type="gram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 -  Considera-se  cooperativa  de  mão-de-obra,  aquela  associação  cuja atividade precípua seja a mera intermediação individual de trabalhadores de uma ou várias profissões  (inexistindo  assim  vínculo  de  solidariedade  entre  seus  associados),  que  não detenham  qualquer  meio  de  produção,  e  cujos  serviços  sejam  prestados  a  terceiros,  de forma individual (e não coletiva), pelos seus associados.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Cláusula Terceira - A UNIÃO obriga-se a estabelecer regras claras nos editais de licitação, a fim de esclarecer a natureza dos serviços licitados, determinando, por conseguinte, se os mesmos </w:t>
      </w:r>
      <w:proofErr w:type="gram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podem  ser</w:t>
      </w:r>
      <w:proofErr w:type="gram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 prestados  por  empresas  prestadoras de  serviços  (trabalhadores subordinados), cooperativas de trabalho, trabalhadores autônomos, avulsos ou eventuais;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Parágrafo Primeiro - É lícita a contratação de genuínas sociedades cooperativas desde que os serviços licitados não estejam incluídos no rol inserido nas alíneas “a” a “r” da Cláusula Primeira e sejam prestados em caráter coletivo e com absoluta autonomia dos cooperados, </w:t>
      </w:r>
      <w:proofErr w:type="gram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seja  em</w:t>
      </w:r>
      <w:proofErr w:type="gram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 relação  às  cooperativas,  seja  em  relação  ao tomador  dos  serviços,  devendo  ser juntada,  na  fase  de  habilitação,  listagem  contendo  o  nome  de  todos  os  associados. </w:t>
      </w:r>
      <w:proofErr w:type="gram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Esclarecem  as</w:t>
      </w:r>
      <w:proofErr w:type="gram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 partes  que  somente  os  serviços  podem  ser  terceirizados,  restando absolutamente vedado o fornecimento (intermediação  de mão-de-obra) de trabalhadores a órgãos públicos por cooperativas de qualquer natureza.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proofErr w:type="gram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Parágrafo  Segundo</w:t>
      </w:r>
      <w:proofErr w:type="gram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 –  Os  editais  de  licitação  que  se  destinem  a  contratar  os  serviços disciplinados pela Cláusula Primeira deverão fazer  expressa menção ao presente termo de conciliação e sua homologação, se possível transcrevendo-os na íntegra ou fazendo parte integrante desses editais, como anexo.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proofErr w:type="gram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Parágrafo  Terceiro</w:t>
      </w:r>
      <w:proofErr w:type="gram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 -  Para  a  prestação  de  serviços  em  sua  forma  subordinada,  a  licitante vencedora  do  certame  deverá  comprovar  a  condição  de empregadora  dos  prestadores  de serviços  para  as  quais  se  objetiva  a  contratação,  constituindo-se  esse  requisito,  condição obrigatória à assinatura do respectivo contrato.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b/>
          <w:bCs/>
          <w:iCs/>
          <w:color w:val="000000"/>
          <w:sz w:val="20"/>
          <w:szCs w:val="20"/>
        </w:rPr>
        <w:t xml:space="preserve">DAS SANÇÕES PELO DESCUMPRIMENTO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b/>
          <w:bCs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Cláusula Quarta – A UNIÃO obriga-se ao pagamento de multa (</w:t>
      </w:r>
      <w:proofErr w:type="spell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astreinte</w:t>
      </w:r>
      <w:proofErr w:type="spell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) correspondente a R$ 1.000,</w:t>
      </w:r>
      <w:proofErr w:type="gram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00  (</w:t>
      </w:r>
      <w:proofErr w:type="gram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um  mil  reais)  por  trabalhador  que  esteja  em  desacordo  com  as  condições estabelecidas no presente Termo de Conciliação, sendo a mesma reversível ao Fundo de Amparo ao Trabalhador (FAT).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proofErr w:type="gram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Parágrafo  Primeiro</w:t>
      </w:r>
      <w:proofErr w:type="gram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 –  O  servidor  público  que,  em  nome  da  Administração,  firmar  o contrato  de  prestação  de  serviços  nas  atividades  relacionadas  nas  alíneas  “a”  a  “r”  da Cláusula  Primeira,  será  responsável  solidário  por  qualquer  </w:t>
      </w: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lastRenderedPageBreak/>
        <w:t xml:space="preserve">contratação  irregular, respondendo pela multa prevista no caput, sem prejuízo das demais cominações legais.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proofErr w:type="gram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Parágrafo  Segundo</w:t>
      </w:r>
      <w:proofErr w:type="gram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 –  Em  caso  de  notícia  de  descumprimento  dos  termos  firmados  neste ajuste,  a  UNIÃO,  depois  de  intimada,  terá  prazo  de  20  (vinte)  dias  para  apresentar  sua justificativa perante o Ministério Público do Trabalho.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b/>
          <w:bCs/>
          <w:iCs/>
          <w:color w:val="000000"/>
          <w:sz w:val="20"/>
          <w:szCs w:val="20"/>
        </w:rPr>
        <w:t xml:space="preserve">DA EXTENSÃO DO AJUSTE À ADMINISTRAÇÃO PÚBLICA INDIRETA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b/>
          <w:bCs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Cláusula Quinta – A UNIÃO se compromete a recomendar o estabelecimento das mesmas diretrizes ora pactuadas em relação às autarquias, fundações públicas, empresas públicas e sociedades  de  economia  mista,  a  fim  de  vincular  todos  os  órgãos  integrantes  da administração  pública  indireta  ao  cumprimento  do  presente  termo  de  conciliação,  sendo que  em  relação  às  empresas  públicas  e  sociedades  de economia  mista  deverá  ser  dado conhecimento  ao  Departamento  de  Coordenação  e  Controle  das  Empresas  Estatais  – DEST,  do  Ministério  do  Planejamento,  Orçamento  e  Gestão,  ou  órgão  equivalente,  para que discipline a matéria no âmbito de sua competência.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b/>
          <w:bCs/>
          <w:iCs/>
          <w:color w:val="000000"/>
          <w:sz w:val="20"/>
          <w:szCs w:val="20"/>
        </w:rPr>
        <w:t xml:space="preserve">DA HOMOLOGAÇÃO JUDICIAL DO AJUSTE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b/>
          <w:bCs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Cláusula Sexta – - As partes submetem os termos </w:t>
      </w:r>
      <w:proofErr w:type="gram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da  presente</w:t>
      </w:r>
      <w:proofErr w:type="gram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conciliação à homologação do  Juízo  da  MM.  </w:t>
      </w:r>
      <w:proofErr w:type="gram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Vigésima  Vara</w:t>
      </w:r>
      <w:proofErr w:type="gram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 do  Trabalho,  para  que o  ajuste  gere  os  seus  efeitos jurídicos.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Cláusula Sétima - Os termos </w:t>
      </w:r>
      <w:proofErr w:type="gram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da presente</w:t>
      </w:r>
      <w:proofErr w:type="gram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avença gerarão seus efeitos jurídicos a partir da data de sua homologação judicial.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Parágrafo único – Os contratos em vigor entre a UNIÃO e as Cooperativas, que contrariem o presente acordo, não serão renovados ou prorrogados.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Cláusula Oitava -A presente conciliação extingue o processo com exame do mérito apenas em relação à UNIÃO, prosseguindo o feito quanto aos demais réus. Dito isto, por estarem as partes ajustadas e compromissadas, firmam a presente conciliação em cinco vias, a qual terá eficácia de título judicial, nos termos dos artigos 831, parágrafo único, e 876, caput, da CLT.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Brasília, 05 de junho de 2003. </w:t>
      </w:r>
    </w:p>
    <w:p w:rsidR="009874B1" w:rsidRPr="00277939" w:rsidRDefault="009874B1" w:rsidP="009874B1">
      <w:pPr>
        <w:jc w:val="both"/>
        <w:rPr>
          <w:rFonts w:ascii="Spranq eco sans" w:hAnsi="Spranq eco sans" w:cs="Times New Roman"/>
          <w:iCs/>
          <w:color w:val="000000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GUILHERME MASTRICHI BASSO GUIOMAR RECHIA GOMES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Procurador-Geral do Trabalho Vice-Procuradora-Geraldo Trabalho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BRASILINO SANTOS RAMOS FÁBIO LEAL CARDOSO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Procurador-Chefe/PRT 10ª Região Procurador do Trabalho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MOACIR ANTONIO DA SILVA MACHADO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Procurador-Geral da União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HELIA MARIA DE OLIVEIRA BETTERO MÁRIOLUIZ GUERREIRO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Sub-Procuradora-Regional da União –1ª Região Advogado da União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lastRenderedPageBreak/>
        <w:t xml:space="preserve">Testemunhas: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GRIJALBO FERNANDES COUTINHO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proofErr w:type="gramStart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Presidente  da</w:t>
      </w:r>
      <w:proofErr w:type="gramEnd"/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  Associação  Nacional  dos  Magistrados  da  Justiça  do  Trabalho  –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ANAMATRA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PAULO SÉRGIO DOMINGUES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Presidente da Associação dos Juízes Federais do Brasil – AJUFE </w:t>
      </w: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</w:p>
    <w:p w:rsidR="009874B1" w:rsidRPr="00277939" w:rsidRDefault="009874B1" w:rsidP="009874B1">
      <w:pPr>
        <w:jc w:val="both"/>
        <w:rPr>
          <w:rFonts w:ascii="Spranq eco sans" w:hAnsi="Spranq eco sans"/>
          <w:sz w:val="20"/>
          <w:szCs w:val="20"/>
        </w:rPr>
      </w:pPr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 xml:space="preserve">REGINA BUTRUS </w:t>
      </w:r>
    </w:p>
    <w:p w:rsidR="001B607B" w:rsidRDefault="009874B1" w:rsidP="009874B1">
      <w:r w:rsidRPr="00277939">
        <w:rPr>
          <w:rFonts w:ascii="Spranq eco sans" w:hAnsi="Spranq eco sans" w:cs="Times New Roman"/>
          <w:iCs/>
          <w:color w:val="000000"/>
          <w:sz w:val="20"/>
          <w:szCs w:val="20"/>
        </w:rPr>
        <w:t>Presidente da Associação Nacional dos Procuradores</w:t>
      </w:r>
    </w:p>
    <w:sectPr w:rsidR="001B607B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88A" w:rsidRDefault="0080188A" w:rsidP="009874B1">
      <w:r>
        <w:separator/>
      </w:r>
    </w:p>
  </w:endnote>
  <w:endnote w:type="continuationSeparator" w:id="0">
    <w:p w:rsidR="0080188A" w:rsidRDefault="0080188A" w:rsidP="0098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1C4" w:rsidRDefault="00AA01C4" w:rsidP="00AA01C4">
    <w:pPr>
      <w:pStyle w:val="Rodap"/>
      <w:jc w:val="center"/>
      <w:rPr>
        <w:rFonts w:ascii="Spranq eco sans" w:hAnsi="Spranq eco sans"/>
      </w:rPr>
    </w:pPr>
  </w:p>
  <w:p w:rsidR="00AA01C4" w:rsidRPr="00AA01C4" w:rsidRDefault="00AA01C4" w:rsidP="00AA01C4">
    <w:pPr>
      <w:pStyle w:val="Rodap"/>
      <w:jc w:val="center"/>
      <w:rPr>
        <w:sz w:val="20"/>
        <w:szCs w:val="20"/>
      </w:rPr>
    </w:pPr>
    <w:r w:rsidRPr="00AA01C4">
      <w:rPr>
        <w:rFonts w:ascii="Spranq eco sans" w:hAnsi="Spranq eco sans"/>
        <w:sz w:val="20"/>
        <w:szCs w:val="20"/>
      </w:rPr>
      <w:t xml:space="preserve">IFMT – </w:t>
    </w:r>
    <w:r w:rsidRPr="00AA01C4">
      <w:rPr>
        <w:rFonts w:ascii="Spranq eco sans" w:hAnsi="Spranq eco sans"/>
        <w:i/>
        <w:sz w:val="20"/>
        <w:szCs w:val="20"/>
      </w:rPr>
      <w:t xml:space="preserve">Campus </w:t>
    </w:r>
    <w:r w:rsidRPr="00AA01C4">
      <w:rPr>
        <w:rFonts w:ascii="Spranq eco sans" w:hAnsi="Spranq eco sans"/>
        <w:sz w:val="20"/>
        <w:szCs w:val="20"/>
      </w:rPr>
      <w:t>Alta Floresta (UASG 158972)</w:t>
    </w:r>
  </w:p>
  <w:p w:rsidR="00AA01C4" w:rsidRPr="00AA01C4" w:rsidRDefault="00AA01C4" w:rsidP="00AA01C4">
    <w:pPr>
      <w:pStyle w:val="Rodap"/>
      <w:jc w:val="center"/>
      <w:rPr>
        <w:sz w:val="20"/>
        <w:szCs w:val="20"/>
      </w:rPr>
    </w:pPr>
    <w:r w:rsidRPr="00AA01C4">
      <w:rPr>
        <w:rFonts w:ascii="Spranq eco sans" w:hAnsi="Spranq eco sans"/>
        <w:sz w:val="20"/>
        <w:szCs w:val="20"/>
      </w:rPr>
      <w:t xml:space="preserve">Endereço: </w:t>
    </w:r>
    <w:r w:rsidRPr="00AA01C4">
      <w:rPr>
        <w:rFonts w:ascii="Spranq eco sans" w:hAnsi="Spranq eco sans" w:cs="Arial"/>
        <w:sz w:val="20"/>
        <w:szCs w:val="20"/>
      </w:rPr>
      <w:t>Rodovia MT-208, S/N, Lote 143-A</w:t>
    </w:r>
    <w:r w:rsidRPr="00AA01C4">
      <w:rPr>
        <w:rFonts w:ascii="Spranq eco sans" w:hAnsi="Spranq eco sans"/>
        <w:sz w:val="20"/>
        <w:szCs w:val="20"/>
      </w:rPr>
      <w:t>, Loteamento Aquarela, Alta Floresta/MT, CEP: 78.580-000, Caixa Postal nº 148.</w:t>
    </w:r>
  </w:p>
  <w:p w:rsidR="00AA01C4" w:rsidRDefault="00AA01C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88A" w:rsidRDefault="0080188A" w:rsidP="009874B1">
      <w:r>
        <w:separator/>
      </w:r>
    </w:p>
  </w:footnote>
  <w:footnote w:type="continuationSeparator" w:id="0">
    <w:p w:rsidR="0080188A" w:rsidRDefault="0080188A" w:rsidP="00987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4B1" w:rsidRPr="00F0437E" w:rsidRDefault="009874B1" w:rsidP="009874B1">
    <w:pPr>
      <w:pStyle w:val="Cabealho"/>
      <w:jc w:val="center"/>
      <w:rPr>
        <w:rFonts w:ascii="Spranq eco sans" w:hAnsi="Spranq eco sans"/>
      </w:rPr>
    </w:pPr>
    <w:r w:rsidRPr="00F0437E">
      <w:rPr>
        <w:rFonts w:ascii="Spranq eco sans" w:hAnsi="Spranq eco sans"/>
        <w:noProof/>
      </w:rPr>
      <w:drawing>
        <wp:inline distT="0" distB="0" distL="0" distR="0" wp14:anchorId="443F8034" wp14:editId="53263716">
          <wp:extent cx="666750" cy="61912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874B1" w:rsidRPr="00F0437E" w:rsidRDefault="009874B1" w:rsidP="009874B1">
    <w:pPr>
      <w:jc w:val="center"/>
      <w:rPr>
        <w:rFonts w:ascii="Spranq eco sans" w:hAnsi="Spranq eco sans"/>
        <w:sz w:val="20"/>
        <w:szCs w:val="20"/>
      </w:rPr>
    </w:pPr>
    <w:r w:rsidRPr="00F0437E">
      <w:rPr>
        <w:rFonts w:ascii="Spranq eco sans" w:hAnsi="Spranq eco sans" w:cs="Arial"/>
        <w:b/>
        <w:sz w:val="20"/>
        <w:szCs w:val="20"/>
      </w:rPr>
      <w:t>SERVIÇO PÚBLICO FEDERAL</w:t>
    </w:r>
  </w:p>
  <w:p w:rsidR="009874B1" w:rsidRPr="00F0437E" w:rsidRDefault="009874B1" w:rsidP="009874B1">
    <w:pPr>
      <w:jc w:val="center"/>
      <w:rPr>
        <w:rFonts w:ascii="Spranq eco sans" w:hAnsi="Spranq eco sans"/>
        <w:sz w:val="20"/>
        <w:szCs w:val="20"/>
      </w:rPr>
    </w:pPr>
    <w:r w:rsidRPr="00F0437E">
      <w:rPr>
        <w:rFonts w:ascii="Spranq eco sans" w:hAnsi="Spranq eco sans" w:cs="Arial"/>
        <w:b/>
        <w:sz w:val="20"/>
        <w:szCs w:val="20"/>
      </w:rPr>
      <w:t>MINISTÉRIO DA EDUCAÇÃO</w:t>
    </w:r>
  </w:p>
  <w:p w:rsidR="009874B1" w:rsidRPr="00F0437E" w:rsidRDefault="009874B1" w:rsidP="009874B1">
    <w:pPr>
      <w:jc w:val="center"/>
      <w:rPr>
        <w:rFonts w:ascii="Spranq eco sans" w:hAnsi="Spranq eco sans"/>
        <w:sz w:val="20"/>
        <w:szCs w:val="20"/>
      </w:rPr>
    </w:pPr>
    <w:r w:rsidRPr="00F0437E">
      <w:rPr>
        <w:rFonts w:ascii="Spranq eco sans" w:hAnsi="Spranq eco sans" w:cs="Arial"/>
        <w:b/>
        <w:sz w:val="20"/>
        <w:szCs w:val="20"/>
      </w:rPr>
      <w:t>INSTITUTO FEDERAL DE EDUCAÇÃO, CIÊNCIA E TECNOLOGIA DE MATO GROSSO</w:t>
    </w:r>
  </w:p>
  <w:p w:rsidR="009874B1" w:rsidRDefault="009874B1" w:rsidP="009874B1">
    <w:pPr>
      <w:pStyle w:val="Cabealho"/>
      <w:jc w:val="center"/>
      <w:rPr>
        <w:rFonts w:ascii="Spranq eco sans" w:hAnsi="Spranq eco sans" w:cs="Arial"/>
        <w:b/>
        <w:sz w:val="20"/>
        <w:szCs w:val="20"/>
      </w:rPr>
    </w:pPr>
    <w:r w:rsidRPr="00F0437E">
      <w:rPr>
        <w:rFonts w:ascii="Spranq eco sans" w:hAnsi="Spranq eco sans" w:cs="Arial"/>
        <w:b/>
        <w:i/>
        <w:sz w:val="20"/>
        <w:szCs w:val="20"/>
      </w:rPr>
      <w:t>CAMPUS</w:t>
    </w:r>
    <w:r w:rsidRPr="00F0437E">
      <w:rPr>
        <w:rFonts w:ascii="Spranq eco sans" w:hAnsi="Spranq eco sans" w:cs="Arial"/>
        <w:b/>
        <w:sz w:val="20"/>
        <w:szCs w:val="20"/>
      </w:rPr>
      <w:t xml:space="preserve"> ALTA FLORESTA</w:t>
    </w:r>
  </w:p>
  <w:p w:rsidR="009874B1" w:rsidRPr="00F0437E" w:rsidRDefault="009874B1" w:rsidP="009874B1">
    <w:pPr>
      <w:pStyle w:val="Cabealho"/>
      <w:jc w:val="center"/>
      <w:rPr>
        <w:rFonts w:ascii="Spranq eco sans" w:hAnsi="Spranq eco san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4B1"/>
    <w:rsid w:val="00074586"/>
    <w:rsid w:val="00160DE8"/>
    <w:rsid w:val="00190A41"/>
    <w:rsid w:val="005E3D28"/>
    <w:rsid w:val="00620F46"/>
    <w:rsid w:val="0080188A"/>
    <w:rsid w:val="009874B1"/>
    <w:rsid w:val="00AA01C4"/>
    <w:rsid w:val="00C63013"/>
    <w:rsid w:val="00DC7B69"/>
    <w:rsid w:val="00E3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4E48F"/>
  <w15:docId w15:val="{941CE9D9-2B71-4CFB-9169-A24804A4C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pranq eco sans" w:eastAsiaTheme="minorHAnsi" w:hAnsi="Spranq eco sans" w:cs="Mangal"/>
        <w:kern w:val="3"/>
        <w:szCs w:val="24"/>
        <w:lang w:val="pt-B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4B1"/>
    <w:pPr>
      <w:widowControl/>
      <w:suppressAutoHyphens/>
      <w:autoSpaceDN/>
      <w:textAlignment w:val="auto"/>
    </w:pPr>
    <w:rPr>
      <w:rFonts w:ascii="Ecofont_Spranq_eco_Sans" w:eastAsia="Times New Roman" w:hAnsi="Ecofont_Spranq_eco_Sans" w:cs="Tahoma"/>
      <w:color w:val="00000A"/>
      <w:kern w:val="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874B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874B1"/>
    <w:rPr>
      <w:rFonts w:ascii="Ecofont_Spranq_eco_Sans" w:eastAsia="Times New Roman" w:hAnsi="Ecofont_Spranq_eco_Sans" w:cs="Tahoma"/>
      <w:color w:val="00000A"/>
      <w:kern w:val="0"/>
      <w:sz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874B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874B1"/>
    <w:rPr>
      <w:rFonts w:ascii="Ecofont_Spranq_eco_Sans" w:eastAsia="Times New Roman" w:hAnsi="Ecofont_Spranq_eco_Sans" w:cs="Tahoma"/>
      <w:color w:val="00000A"/>
      <w:kern w:val="0"/>
      <w:sz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874B1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74B1"/>
    <w:rPr>
      <w:rFonts w:ascii="Tahoma" w:eastAsia="Times New Roman" w:hAnsi="Tahoma" w:cs="Tahoma"/>
      <w:color w:val="00000A"/>
      <w:kern w:val="0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1737</Words>
  <Characters>9382</Characters>
  <Application>Microsoft Office Word</Application>
  <DocSecurity>0</DocSecurity>
  <Lines>78</Lines>
  <Paragraphs>22</Paragraphs>
  <ScaleCrop>false</ScaleCrop>
  <Company>Hewlett-Packard Company</Company>
  <LinksUpToDate>false</LinksUpToDate>
  <CharactersWithSpaces>11097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Fabrício Geraldo dos Santos Rodrigues</dc:creator>
  <cp:lastModifiedBy>Fabrício Geraldo dos Santos Rodrigues</cp:lastModifiedBy>
  <cp:revision>2</cp:revision>
  <dcterms:created xsi:type="dcterms:W3CDTF">2016-07-29T11:43:00Z</dcterms:created>
  <dcterms:modified xsi:type="dcterms:W3CDTF">2019-04-11T16:57:00Z</dcterms:modified>
</cp:coreProperties>
</file>